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68E1" w14:textId="2A53145E" w:rsidR="006C055A" w:rsidRDefault="006C055A" w:rsidP="008B10A1">
      <w:r>
        <w:rPr>
          <w:noProof/>
        </w:rPr>
        <w:drawing>
          <wp:inline distT="0" distB="0" distL="0" distR="0" wp14:anchorId="50412FB7" wp14:editId="67B5776A">
            <wp:extent cx="9072245" cy="51028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email">
                      <a:extLst>
                        <a:ext uri="{28A0092B-C50C-407E-A947-70E740481C1C}">
                          <a14:useLocalDpi xmlns:a14="http://schemas.microsoft.com/office/drawing/2010/main"/>
                        </a:ext>
                      </a:extLst>
                    </a:blip>
                    <a:stretch>
                      <a:fillRect/>
                    </a:stretch>
                  </pic:blipFill>
                  <pic:spPr>
                    <a:xfrm>
                      <a:off x="0" y="0"/>
                      <a:ext cx="9072245" cy="5102860"/>
                    </a:xfrm>
                    <a:prstGeom prst="rect">
                      <a:avLst/>
                    </a:prstGeom>
                  </pic:spPr>
                </pic:pic>
              </a:graphicData>
            </a:graphic>
          </wp:inline>
        </w:drawing>
      </w:r>
    </w:p>
    <w:p w14:paraId="5D091D51" w14:textId="77777777" w:rsidR="006C055A" w:rsidRDefault="006C055A">
      <w:r>
        <w:br w:type="page"/>
      </w:r>
    </w:p>
    <w:tbl>
      <w:tblPr>
        <w:tblStyle w:val="Tabellenraster"/>
        <w:tblW w:w="14312" w:type="dxa"/>
        <w:tblLook w:val="04A0" w:firstRow="1" w:lastRow="0" w:firstColumn="1" w:lastColumn="0" w:noHBand="0" w:noVBand="1"/>
      </w:tblPr>
      <w:tblGrid>
        <w:gridCol w:w="2579"/>
        <w:gridCol w:w="2809"/>
        <w:gridCol w:w="3370"/>
        <w:gridCol w:w="2750"/>
        <w:gridCol w:w="2804"/>
      </w:tblGrid>
      <w:tr w:rsidR="006C055A" w:rsidRPr="00951D32" w14:paraId="5679F8F6" w14:textId="77777777" w:rsidTr="00173340">
        <w:tc>
          <w:tcPr>
            <w:tcW w:w="2579" w:type="dxa"/>
          </w:tcPr>
          <w:p w14:paraId="41B69F97" w14:textId="77777777" w:rsidR="006C055A" w:rsidRPr="00951D32" w:rsidRDefault="006C055A" w:rsidP="00173340">
            <w:pPr>
              <w:rPr>
                <w:b/>
                <w:bCs/>
              </w:rPr>
            </w:pPr>
            <w:r w:rsidRPr="00951D32">
              <w:rPr>
                <w:b/>
                <w:bCs/>
              </w:rPr>
              <w:lastRenderedPageBreak/>
              <w:t>Einordnung in vorgegebenen Maßnahmenschwerpunkt</w:t>
            </w:r>
            <w:r>
              <w:rPr>
                <w:b/>
                <w:bCs/>
              </w:rPr>
              <w:t xml:space="preserve"> (s. Anlage 1 LES-Leistungsbeschreibung)</w:t>
            </w:r>
          </w:p>
        </w:tc>
        <w:tc>
          <w:tcPr>
            <w:tcW w:w="2809" w:type="dxa"/>
          </w:tcPr>
          <w:p w14:paraId="161544AA" w14:textId="77777777" w:rsidR="006C055A" w:rsidRPr="00951D32" w:rsidRDefault="006C055A" w:rsidP="00173340">
            <w:pPr>
              <w:rPr>
                <w:b/>
                <w:bCs/>
              </w:rPr>
            </w:pPr>
            <w:r w:rsidRPr="00951D32">
              <w:rPr>
                <w:b/>
                <w:bCs/>
              </w:rPr>
              <w:t>Konkretisierung</w:t>
            </w:r>
          </w:p>
        </w:tc>
        <w:tc>
          <w:tcPr>
            <w:tcW w:w="3370" w:type="dxa"/>
          </w:tcPr>
          <w:p w14:paraId="48F7FB4F" w14:textId="77777777" w:rsidR="006C055A" w:rsidRPr="00951D32" w:rsidRDefault="006C055A" w:rsidP="00173340">
            <w:pPr>
              <w:rPr>
                <w:b/>
                <w:bCs/>
              </w:rPr>
            </w:pPr>
            <w:r w:rsidRPr="00816DF7">
              <w:rPr>
                <w:b/>
                <w:bCs/>
                <w:color w:val="4472C4" w:themeColor="accent1"/>
              </w:rPr>
              <w:t>Beispiele</w:t>
            </w:r>
            <w:r>
              <w:rPr>
                <w:b/>
                <w:bCs/>
              </w:rPr>
              <w:t xml:space="preserve">/ </w:t>
            </w:r>
            <w:r w:rsidRPr="00816DF7">
              <w:rPr>
                <w:b/>
                <w:bCs/>
                <w:color w:val="70AD47" w:themeColor="accent6"/>
              </w:rPr>
              <w:t>Projekte</w:t>
            </w:r>
          </w:p>
        </w:tc>
        <w:tc>
          <w:tcPr>
            <w:tcW w:w="2750" w:type="dxa"/>
          </w:tcPr>
          <w:p w14:paraId="6C70DF76" w14:textId="77777777" w:rsidR="006C055A" w:rsidRPr="009D2D44" w:rsidRDefault="006C055A" w:rsidP="00173340">
            <w:pPr>
              <w:rPr>
                <w:b/>
                <w:bCs/>
                <w:color w:val="FF0000"/>
              </w:rPr>
            </w:pPr>
            <w:r w:rsidRPr="009D2D44">
              <w:rPr>
                <w:b/>
                <w:bCs/>
                <w:color w:val="FF0000"/>
              </w:rPr>
              <w:t xml:space="preserve">Wie soll es umgesetzt werden? </w:t>
            </w:r>
          </w:p>
          <w:p w14:paraId="4139A2EF" w14:textId="77777777" w:rsidR="006C055A" w:rsidRPr="00951D32" w:rsidRDefault="006C055A" w:rsidP="00173340">
            <w:pPr>
              <w:rPr>
                <w:b/>
                <w:bCs/>
              </w:rPr>
            </w:pPr>
          </w:p>
        </w:tc>
        <w:tc>
          <w:tcPr>
            <w:tcW w:w="2804" w:type="dxa"/>
          </w:tcPr>
          <w:p w14:paraId="5B2C8869" w14:textId="77777777" w:rsidR="006C055A" w:rsidRPr="00951D32" w:rsidRDefault="006C055A" w:rsidP="00173340">
            <w:pPr>
              <w:rPr>
                <w:b/>
                <w:bCs/>
              </w:rPr>
            </w:pPr>
            <w:r w:rsidRPr="00951D32">
              <w:rPr>
                <w:b/>
                <w:bCs/>
              </w:rPr>
              <w:t xml:space="preserve">LEADER </w:t>
            </w:r>
            <w:r>
              <w:rPr>
                <w:b/>
                <w:bCs/>
              </w:rPr>
              <w:t>–</w:t>
            </w:r>
            <w:r w:rsidRPr="00951D32">
              <w:rPr>
                <w:b/>
                <w:bCs/>
              </w:rPr>
              <w:t xml:space="preserve"> Handlungsansätze</w:t>
            </w:r>
            <w:r>
              <w:rPr>
                <w:b/>
                <w:bCs/>
              </w:rPr>
              <w:t xml:space="preserve"> aus der Regionalanalyse</w:t>
            </w:r>
          </w:p>
        </w:tc>
      </w:tr>
      <w:tr w:rsidR="006C055A" w14:paraId="49974B95" w14:textId="77777777" w:rsidTr="00173340">
        <w:trPr>
          <w:trHeight w:val="270"/>
        </w:trPr>
        <w:tc>
          <w:tcPr>
            <w:tcW w:w="2579" w:type="dxa"/>
            <w:vMerge w:val="restart"/>
          </w:tcPr>
          <w:p w14:paraId="2050E6E3" w14:textId="77777777" w:rsidR="006C055A" w:rsidRDefault="006C055A" w:rsidP="00173340">
            <w:r>
              <w:t>Entwicklung bedarfsgerechter Wohnangebote</w:t>
            </w:r>
          </w:p>
        </w:tc>
        <w:tc>
          <w:tcPr>
            <w:tcW w:w="2809" w:type="dxa"/>
          </w:tcPr>
          <w:p w14:paraId="5AB64D0F" w14:textId="77777777" w:rsidR="006C055A" w:rsidRDefault="006C055A" w:rsidP="00173340">
            <w:r>
              <w:t>Junges Wohnen in ländlichen Räumen</w:t>
            </w:r>
          </w:p>
        </w:tc>
        <w:tc>
          <w:tcPr>
            <w:tcW w:w="3370" w:type="dxa"/>
          </w:tcPr>
          <w:p w14:paraId="1EB713F0" w14:textId="77777777" w:rsidR="006C055A" w:rsidRPr="002D193C" w:rsidRDefault="006C055A" w:rsidP="00173340">
            <w:r w:rsidRPr="00D7538A">
              <w:rPr>
                <w:color w:val="70AD47" w:themeColor="accent6"/>
              </w:rPr>
              <w:t xml:space="preserve">Unterstützung von Mietwohnungen </w:t>
            </w:r>
            <w:r>
              <w:t>(nachgeordnet zu Um- und Wiedernutzungen)</w:t>
            </w:r>
          </w:p>
        </w:tc>
        <w:tc>
          <w:tcPr>
            <w:tcW w:w="2750" w:type="dxa"/>
          </w:tcPr>
          <w:p w14:paraId="7084AFB5" w14:textId="77777777" w:rsidR="006C055A" w:rsidRDefault="006C055A" w:rsidP="00173340"/>
        </w:tc>
        <w:tc>
          <w:tcPr>
            <w:tcW w:w="2804" w:type="dxa"/>
            <w:vMerge w:val="restart"/>
          </w:tcPr>
          <w:p w14:paraId="2D55A492" w14:textId="77777777" w:rsidR="006C055A" w:rsidRDefault="006C055A" w:rsidP="00173340">
            <w:r>
              <w:t>Mehr Vielfalt in Wohnmodellen unterstützen</w:t>
            </w:r>
          </w:p>
        </w:tc>
      </w:tr>
      <w:tr w:rsidR="006C055A" w14:paraId="6B07654A" w14:textId="77777777" w:rsidTr="00173340">
        <w:trPr>
          <w:trHeight w:val="270"/>
        </w:trPr>
        <w:tc>
          <w:tcPr>
            <w:tcW w:w="2579" w:type="dxa"/>
            <w:vMerge/>
          </w:tcPr>
          <w:p w14:paraId="4C3B651A" w14:textId="77777777" w:rsidR="006C055A" w:rsidRDefault="006C055A" w:rsidP="00173340"/>
        </w:tc>
        <w:tc>
          <w:tcPr>
            <w:tcW w:w="2809" w:type="dxa"/>
          </w:tcPr>
          <w:p w14:paraId="1DA26559" w14:textId="77777777" w:rsidR="006C055A" w:rsidRDefault="006C055A" w:rsidP="00173340">
            <w:r>
              <w:t>Wohnen im Alter ermöglichen</w:t>
            </w:r>
          </w:p>
        </w:tc>
        <w:tc>
          <w:tcPr>
            <w:tcW w:w="3370" w:type="dxa"/>
          </w:tcPr>
          <w:p w14:paraId="7A16C512" w14:textId="77777777" w:rsidR="006C055A" w:rsidRPr="002D193C" w:rsidRDefault="006C055A" w:rsidP="00173340">
            <w:r w:rsidRPr="00D7538A">
              <w:rPr>
                <w:color w:val="70AD47" w:themeColor="accent6"/>
              </w:rPr>
              <w:t xml:space="preserve">Barrierefreiheit, Zusatzdienstleistungen, stabile Nachbarschaften, technische und digitale Unterstützungssysteme </w:t>
            </w:r>
            <w:r w:rsidRPr="00D7538A">
              <w:rPr>
                <w:color w:val="4472C4" w:themeColor="accent1"/>
              </w:rPr>
              <w:t>(</w:t>
            </w:r>
            <w:proofErr w:type="spellStart"/>
            <w:r w:rsidRPr="00D7538A">
              <w:rPr>
                <w:color w:val="4472C4" w:themeColor="accent1"/>
              </w:rPr>
              <w:t>Ubineum</w:t>
            </w:r>
            <w:proofErr w:type="spellEnd"/>
            <w:r w:rsidRPr="00D7538A">
              <w:rPr>
                <w:color w:val="4472C4" w:themeColor="accent1"/>
              </w:rPr>
              <w:t>)</w:t>
            </w:r>
          </w:p>
        </w:tc>
        <w:tc>
          <w:tcPr>
            <w:tcW w:w="2750" w:type="dxa"/>
          </w:tcPr>
          <w:p w14:paraId="56933727" w14:textId="77777777" w:rsidR="006C055A" w:rsidRDefault="006C055A" w:rsidP="00173340"/>
        </w:tc>
        <w:tc>
          <w:tcPr>
            <w:tcW w:w="2804" w:type="dxa"/>
            <w:vMerge/>
          </w:tcPr>
          <w:p w14:paraId="68B7B77F" w14:textId="77777777" w:rsidR="006C055A" w:rsidRDefault="006C055A" w:rsidP="00173340"/>
        </w:tc>
      </w:tr>
      <w:tr w:rsidR="006C055A" w14:paraId="059B450C" w14:textId="77777777" w:rsidTr="00173340">
        <w:trPr>
          <w:trHeight w:val="135"/>
        </w:trPr>
        <w:tc>
          <w:tcPr>
            <w:tcW w:w="2579" w:type="dxa"/>
            <w:vMerge/>
          </w:tcPr>
          <w:p w14:paraId="15C5C624" w14:textId="77777777" w:rsidR="006C055A" w:rsidRDefault="006C055A" w:rsidP="00173340"/>
        </w:tc>
        <w:tc>
          <w:tcPr>
            <w:tcW w:w="2809" w:type="dxa"/>
            <w:vMerge w:val="restart"/>
          </w:tcPr>
          <w:p w14:paraId="5F4F091A" w14:textId="77777777" w:rsidR="006C055A" w:rsidRDefault="006C055A" w:rsidP="00173340">
            <w:r>
              <w:t>Familienwohnen</w:t>
            </w:r>
          </w:p>
        </w:tc>
        <w:tc>
          <w:tcPr>
            <w:tcW w:w="3370" w:type="dxa"/>
          </w:tcPr>
          <w:p w14:paraId="761D02DC" w14:textId="77777777" w:rsidR="006C055A" w:rsidRPr="002D193C" w:rsidRDefault="006C055A" w:rsidP="00173340">
            <w:r>
              <w:t>Wohnraumschaffung</w:t>
            </w:r>
          </w:p>
        </w:tc>
        <w:tc>
          <w:tcPr>
            <w:tcW w:w="2750" w:type="dxa"/>
          </w:tcPr>
          <w:p w14:paraId="520398A6" w14:textId="77777777" w:rsidR="006C055A" w:rsidRDefault="006C055A" w:rsidP="00173340"/>
        </w:tc>
        <w:tc>
          <w:tcPr>
            <w:tcW w:w="2804" w:type="dxa"/>
            <w:vMerge/>
          </w:tcPr>
          <w:p w14:paraId="6F03F357" w14:textId="77777777" w:rsidR="006C055A" w:rsidRDefault="006C055A" w:rsidP="00173340"/>
        </w:tc>
      </w:tr>
      <w:tr w:rsidR="006C055A" w14:paraId="6E43CA05" w14:textId="77777777" w:rsidTr="00173340">
        <w:trPr>
          <w:trHeight w:val="135"/>
        </w:trPr>
        <w:tc>
          <w:tcPr>
            <w:tcW w:w="2579" w:type="dxa"/>
            <w:vMerge/>
          </w:tcPr>
          <w:p w14:paraId="30B49B54" w14:textId="77777777" w:rsidR="006C055A" w:rsidRDefault="006C055A" w:rsidP="00173340"/>
        </w:tc>
        <w:tc>
          <w:tcPr>
            <w:tcW w:w="2809" w:type="dxa"/>
            <w:vMerge/>
          </w:tcPr>
          <w:p w14:paraId="1BB7A150" w14:textId="77777777" w:rsidR="006C055A" w:rsidRDefault="006C055A" w:rsidP="00173340"/>
        </w:tc>
        <w:tc>
          <w:tcPr>
            <w:tcW w:w="3370" w:type="dxa"/>
          </w:tcPr>
          <w:p w14:paraId="6EB42B96" w14:textId="77777777" w:rsidR="006C055A" w:rsidRPr="002D193C" w:rsidRDefault="006C055A" w:rsidP="00173340">
            <w:r>
              <w:t>Förderwegweiser</w:t>
            </w:r>
          </w:p>
        </w:tc>
        <w:tc>
          <w:tcPr>
            <w:tcW w:w="2750" w:type="dxa"/>
          </w:tcPr>
          <w:p w14:paraId="10F91C2C" w14:textId="77777777" w:rsidR="006C055A" w:rsidRDefault="006C055A" w:rsidP="00173340"/>
        </w:tc>
        <w:tc>
          <w:tcPr>
            <w:tcW w:w="2804" w:type="dxa"/>
            <w:vMerge/>
          </w:tcPr>
          <w:p w14:paraId="3FBA6F12" w14:textId="77777777" w:rsidR="006C055A" w:rsidRDefault="006C055A" w:rsidP="00173340"/>
        </w:tc>
      </w:tr>
      <w:tr w:rsidR="006C055A" w14:paraId="6FDE9F87" w14:textId="77777777" w:rsidTr="00173340">
        <w:tc>
          <w:tcPr>
            <w:tcW w:w="2579" w:type="dxa"/>
            <w:vMerge/>
          </w:tcPr>
          <w:p w14:paraId="39AA22C5" w14:textId="77777777" w:rsidR="006C055A" w:rsidRDefault="006C055A" w:rsidP="00173340"/>
        </w:tc>
        <w:tc>
          <w:tcPr>
            <w:tcW w:w="2809" w:type="dxa"/>
          </w:tcPr>
          <w:p w14:paraId="4F04AA45" w14:textId="77777777" w:rsidR="006C055A" w:rsidRDefault="006C055A" w:rsidP="00173340">
            <w:r>
              <w:t>Ergänzung Wohnmodellen (Gemeinschaftliches Wohnen egal welchen Alters) AZ</w:t>
            </w:r>
          </w:p>
        </w:tc>
        <w:tc>
          <w:tcPr>
            <w:tcW w:w="3370" w:type="dxa"/>
          </w:tcPr>
          <w:p w14:paraId="0104F695" w14:textId="77777777" w:rsidR="006C055A" w:rsidRPr="002D193C" w:rsidRDefault="006C055A" w:rsidP="00173340"/>
        </w:tc>
        <w:tc>
          <w:tcPr>
            <w:tcW w:w="2750" w:type="dxa"/>
          </w:tcPr>
          <w:p w14:paraId="3674599E" w14:textId="77777777" w:rsidR="006C055A" w:rsidRDefault="006C055A" w:rsidP="00173340"/>
        </w:tc>
        <w:tc>
          <w:tcPr>
            <w:tcW w:w="2804" w:type="dxa"/>
          </w:tcPr>
          <w:p w14:paraId="289ED1AD" w14:textId="77777777" w:rsidR="006C055A" w:rsidRDefault="006C055A" w:rsidP="00173340"/>
        </w:tc>
      </w:tr>
    </w:tbl>
    <w:p w14:paraId="5731DE1B" w14:textId="2F22970A" w:rsidR="006C055A" w:rsidRDefault="006C055A"/>
    <w:tbl>
      <w:tblPr>
        <w:tblW w:w="5031" w:type="pct"/>
        <w:tblLayout w:type="fixed"/>
        <w:tblCellMar>
          <w:left w:w="70" w:type="dxa"/>
          <w:right w:w="70" w:type="dxa"/>
        </w:tblCellMar>
        <w:tblLook w:val="04A0" w:firstRow="1" w:lastRow="0" w:firstColumn="1" w:lastColumn="0" w:noHBand="0" w:noVBand="1"/>
      </w:tblPr>
      <w:tblGrid>
        <w:gridCol w:w="1717"/>
        <w:gridCol w:w="3404"/>
        <w:gridCol w:w="978"/>
        <w:gridCol w:w="569"/>
        <w:gridCol w:w="989"/>
        <w:gridCol w:w="1417"/>
        <w:gridCol w:w="1561"/>
        <w:gridCol w:w="1274"/>
        <w:gridCol w:w="851"/>
        <w:gridCol w:w="1564"/>
        <w:gridCol w:w="52"/>
      </w:tblGrid>
      <w:tr w:rsidR="00753FD3" w:rsidRPr="00FA384C" w14:paraId="62BEC6CB" w14:textId="77777777" w:rsidTr="004D0610">
        <w:trPr>
          <w:gridAfter w:val="1"/>
          <w:wAfter w:w="18" w:type="pct"/>
          <w:trHeight w:val="525"/>
        </w:trPr>
        <w:tc>
          <w:tcPr>
            <w:tcW w:w="4982" w:type="pct"/>
            <w:gridSpan w:val="10"/>
            <w:tcBorders>
              <w:top w:val="nil"/>
              <w:left w:val="nil"/>
              <w:bottom w:val="single" w:sz="4" w:space="0" w:color="BFBFBF" w:themeColor="background1" w:themeShade="BF"/>
              <w:right w:val="nil"/>
            </w:tcBorders>
            <w:shd w:val="clear" w:color="auto" w:fill="auto"/>
            <w:vAlign w:val="bottom"/>
            <w:hideMark/>
          </w:tcPr>
          <w:p w14:paraId="1363479B" w14:textId="29A26CBA" w:rsidR="00753FD3" w:rsidRPr="00FA384C" w:rsidRDefault="00753FD3" w:rsidP="004D0610">
            <w:pPr>
              <w:spacing w:after="0" w:line="240" w:lineRule="auto"/>
              <w:rPr>
                <w:rFonts w:ascii="Calibri" w:eastAsia="Times New Roman" w:hAnsi="Calibri" w:cs="Times New Roman"/>
                <w:b/>
                <w:bCs/>
                <w:color w:val="000000"/>
                <w:sz w:val="28"/>
                <w:szCs w:val="28"/>
                <w:lang w:eastAsia="de-DE"/>
              </w:rPr>
            </w:pPr>
            <w:r w:rsidRPr="0058199B">
              <w:rPr>
                <w:rFonts w:ascii="Calibri" w:eastAsia="Times New Roman" w:hAnsi="Calibri" w:cs="Times New Roman"/>
                <w:bCs/>
                <w:color w:val="E73031"/>
                <w:sz w:val="28"/>
                <w:szCs w:val="28"/>
                <w:lang w:eastAsia="de-DE"/>
              </w:rPr>
              <w:t>Handlungsfeld D</w:t>
            </w:r>
            <w:r>
              <w:rPr>
                <w:rFonts w:ascii="Calibri" w:eastAsia="Times New Roman" w:hAnsi="Calibri" w:cs="Times New Roman"/>
                <w:bCs/>
                <w:color w:val="E73031"/>
                <w:sz w:val="28"/>
                <w:szCs w:val="28"/>
                <w:lang w:eastAsia="de-DE"/>
              </w:rPr>
              <w:t>-</w:t>
            </w:r>
            <w:r w:rsidRPr="0058199B">
              <w:rPr>
                <w:rFonts w:ascii="Calibri" w:eastAsia="Times New Roman" w:hAnsi="Calibri" w:cs="Times New Roman"/>
                <w:bCs/>
                <w:color w:val="E73031"/>
                <w:sz w:val="28"/>
                <w:szCs w:val="28"/>
                <w:lang w:eastAsia="de-DE"/>
              </w:rPr>
              <w:t>B:</w:t>
            </w:r>
            <w:r>
              <w:rPr>
                <w:rFonts w:ascii="Calibri" w:eastAsia="Times New Roman" w:hAnsi="Calibri" w:cs="Times New Roman"/>
                <w:b/>
                <w:bCs/>
                <w:color w:val="E73031"/>
                <w:sz w:val="28"/>
                <w:szCs w:val="28"/>
                <w:lang w:eastAsia="de-DE"/>
              </w:rPr>
              <w:t xml:space="preserve"> </w:t>
            </w:r>
            <w:r w:rsidRPr="00E552D8">
              <w:rPr>
                <w:rFonts w:ascii="Calibri" w:eastAsia="Times New Roman" w:hAnsi="Calibri" w:cs="Times New Roman"/>
                <w:b/>
                <w:bCs/>
                <w:color w:val="E73031"/>
                <w:sz w:val="28"/>
                <w:szCs w:val="28"/>
                <w:lang w:eastAsia="de-DE"/>
              </w:rPr>
              <w:t xml:space="preserve">Ortsentwicklung, </w:t>
            </w:r>
            <w:r>
              <w:rPr>
                <w:rFonts w:ascii="Calibri" w:eastAsia="Times New Roman" w:hAnsi="Calibri" w:cs="Times New Roman"/>
                <w:b/>
                <w:bCs/>
                <w:color w:val="E73031"/>
                <w:sz w:val="28"/>
                <w:szCs w:val="28"/>
                <w:lang w:eastAsia="de-DE"/>
              </w:rPr>
              <w:t>Infrastruktur</w:t>
            </w:r>
            <w:r w:rsidRPr="00E552D8">
              <w:rPr>
                <w:rFonts w:ascii="Calibri" w:eastAsia="Times New Roman" w:hAnsi="Calibri" w:cs="Times New Roman"/>
                <w:b/>
                <w:bCs/>
                <w:color w:val="E73031"/>
                <w:sz w:val="28"/>
                <w:szCs w:val="28"/>
                <w:lang w:eastAsia="de-DE"/>
              </w:rPr>
              <w:t xml:space="preserve"> </w:t>
            </w:r>
            <w:r w:rsidRPr="00651AB7">
              <w:rPr>
                <w:rFonts w:ascii="Calibri" w:eastAsia="Times New Roman" w:hAnsi="Calibri" w:cs="Times New Roman"/>
                <w:b/>
                <w:bCs/>
                <w:color w:val="E73031"/>
                <w:sz w:val="28"/>
                <w:szCs w:val="28"/>
                <w:lang w:eastAsia="de-DE"/>
              </w:rPr>
              <w:t>und Soziales</w:t>
            </w:r>
            <w:r>
              <w:rPr>
                <w:rFonts w:ascii="Calibri" w:eastAsia="Times New Roman" w:hAnsi="Calibri" w:cs="Times New Roman"/>
                <w:b/>
                <w:bCs/>
                <w:color w:val="E73031"/>
                <w:sz w:val="28"/>
                <w:szCs w:val="28"/>
                <w:lang w:eastAsia="de-DE"/>
              </w:rPr>
              <w:t xml:space="preserve"> 2014-2022</w:t>
            </w:r>
          </w:p>
        </w:tc>
      </w:tr>
      <w:tr w:rsidR="00753FD3" w:rsidRPr="00FA384C" w14:paraId="54A36F07" w14:textId="77777777" w:rsidTr="00753FD3">
        <w:trPr>
          <w:trHeight w:val="285"/>
        </w:trPr>
        <w:tc>
          <w:tcPr>
            <w:tcW w:w="597"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4BDD5082" w14:textId="77777777" w:rsidR="00753FD3" w:rsidRPr="00933D9D" w:rsidRDefault="00753FD3"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 xml:space="preserve">Handlungsfeldziele </w:t>
            </w:r>
          </w:p>
        </w:tc>
        <w:tc>
          <w:tcPr>
            <w:tcW w:w="1184"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04666140" w14:textId="77777777" w:rsidR="00753FD3" w:rsidRPr="00933D9D" w:rsidRDefault="00753FD3"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Maßnahmen</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66AD7571" w14:textId="77777777" w:rsidR="00753FD3" w:rsidRPr="00933D9D" w:rsidRDefault="00753FD3"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Förderung</w:t>
            </w:r>
          </w:p>
        </w:tc>
        <w:tc>
          <w:tcPr>
            <w:tcW w:w="542" w:type="pct"/>
            <w:gridSpan w:val="2"/>
            <w:tcBorders>
              <w:top w:val="single" w:sz="4" w:space="0" w:color="auto"/>
              <w:left w:val="single" w:sz="4" w:space="0" w:color="auto"/>
              <w:bottom w:val="single" w:sz="4" w:space="0" w:color="auto"/>
              <w:right w:val="single" w:sz="4" w:space="0" w:color="auto"/>
            </w:tcBorders>
            <w:shd w:val="clear" w:color="000000" w:fill="E73031"/>
            <w:vAlign w:val="center"/>
            <w:hideMark/>
          </w:tcPr>
          <w:p w14:paraId="277F5BCD" w14:textId="77777777" w:rsidR="00753FD3" w:rsidRPr="00933D9D" w:rsidRDefault="00753FD3" w:rsidP="004D0610">
            <w:pPr>
              <w:spacing w:after="0" w:line="240" w:lineRule="auto"/>
              <w:jc w:val="center"/>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Budget 2015-202</w:t>
            </w:r>
            <w:r>
              <w:rPr>
                <w:rFonts w:ascii="Calibri" w:eastAsia="Times New Roman" w:hAnsi="Calibri" w:cs="Times New Roman"/>
                <w:b/>
                <w:bCs/>
                <w:color w:val="FFFFFF"/>
                <w:sz w:val="18"/>
                <w:szCs w:val="20"/>
                <w:lang w:eastAsia="de-DE"/>
              </w:rPr>
              <w:t>2</w:t>
            </w:r>
          </w:p>
        </w:tc>
        <w:tc>
          <w:tcPr>
            <w:tcW w:w="1479" w:type="pct"/>
            <w:gridSpan w:val="3"/>
            <w:tcBorders>
              <w:top w:val="single" w:sz="4" w:space="0" w:color="auto"/>
              <w:left w:val="single" w:sz="4" w:space="0" w:color="auto"/>
              <w:bottom w:val="single" w:sz="4" w:space="0" w:color="auto"/>
              <w:right w:val="single" w:sz="4" w:space="0" w:color="auto"/>
            </w:tcBorders>
            <w:shd w:val="clear" w:color="000000" w:fill="E73031"/>
            <w:noWrap/>
            <w:vAlign w:val="center"/>
            <w:hideMark/>
          </w:tcPr>
          <w:p w14:paraId="5BF18297" w14:textId="77777777" w:rsidR="00753FD3" w:rsidRPr="00933D9D" w:rsidRDefault="00753FD3" w:rsidP="004D0610">
            <w:pPr>
              <w:spacing w:after="0" w:line="240" w:lineRule="auto"/>
              <w:jc w:val="center"/>
              <w:rPr>
                <w:rFonts w:ascii="Calibri" w:eastAsia="Times New Roman" w:hAnsi="Calibri" w:cs="Times New Roman"/>
                <w:b/>
                <w:bCs/>
                <w:color w:val="FFFFFF"/>
                <w:sz w:val="18"/>
                <w:szCs w:val="20"/>
                <w:lang w:eastAsia="de-DE"/>
              </w:rPr>
            </w:pPr>
            <w:proofErr w:type="spellStart"/>
            <w:r w:rsidRPr="00933D9D">
              <w:rPr>
                <w:rFonts w:ascii="Calibri" w:eastAsia="Times New Roman" w:hAnsi="Calibri" w:cs="Times New Roman"/>
                <w:b/>
                <w:bCs/>
                <w:color w:val="FFFFFF"/>
                <w:sz w:val="18"/>
                <w:szCs w:val="20"/>
                <w:lang w:eastAsia="de-DE"/>
              </w:rPr>
              <w:t>Zuwendungsempfänger</w:t>
            </w:r>
            <w:r>
              <w:rPr>
                <w:rFonts w:ascii="Calibri" w:eastAsia="Times New Roman" w:hAnsi="Calibri" w:cs="Times New Roman"/>
                <w:b/>
                <w:bCs/>
                <w:color w:val="FFFFFF"/>
                <w:sz w:val="18"/>
                <w:szCs w:val="20"/>
                <w:lang w:eastAsia="de-DE"/>
              </w:rPr>
              <w:t>In</w:t>
            </w:r>
            <w:proofErr w:type="spellEnd"/>
            <w:r w:rsidRPr="00933D9D">
              <w:rPr>
                <w:rFonts w:ascii="Calibri" w:eastAsia="Times New Roman" w:hAnsi="Calibri" w:cs="Times New Roman"/>
                <w:b/>
                <w:bCs/>
                <w:color w:val="FFFFFF"/>
                <w:sz w:val="18"/>
                <w:szCs w:val="20"/>
                <w:lang w:eastAsia="de-DE"/>
              </w:rPr>
              <w:t xml:space="preserve"> / Fördersatz / Zuschuss</w:t>
            </w:r>
          </w:p>
        </w:tc>
        <w:tc>
          <w:tcPr>
            <w:tcW w:w="296"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5B2BC0C2" w14:textId="77777777" w:rsidR="00753FD3" w:rsidRPr="00FA384C" w:rsidRDefault="00753FD3" w:rsidP="004D0610">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ELER </w:t>
            </w:r>
            <w:r w:rsidRPr="00FA384C">
              <w:rPr>
                <w:rFonts w:ascii="Calibri" w:eastAsia="Times New Roman" w:hAnsi="Calibri" w:cs="Times New Roman"/>
                <w:color w:val="FFFFFF"/>
                <w:sz w:val="20"/>
                <w:szCs w:val="20"/>
                <w:lang w:eastAsia="de-DE"/>
              </w:rPr>
              <w:t>Priorität</w:t>
            </w:r>
          </w:p>
        </w:tc>
        <w:tc>
          <w:tcPr>
            <w:tcW w:w="562" w:type="pct"/>
            <w:gridSpan w:val="2"/>
            <w:vMerge w:val="restart"/>
            <w:tcBorders>
              <w:top w:val="single" w:sz="4" w:space="0" w:color="auto"/>
              <w:left w:val="single" w:sz="4" w:space="0" w:color="auto"/>
              <w:bottom w:val="single" w:sz="4" w:space="0" w:color="auto"/>
              <w:right w:val="single" w:sz="4" w:space="0" w:color="auto"/>
            </w:tcBorders>
            <w:shd w:val="clear" w:color="000000" w:fill="E73031"/>
            <w:hideMark/>
          </w:tcPr>
          <w:p w14:paraId="388EAD84" w14:textId="77777777" w:rsidR="00753FD3" w:rsidRPr="00FA384C" w:rsidRDefault="00753FD3" w:rsidP="004D0610">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Indikatoren </w:t>
            </w:r>
            <w:r w:rsidRPr="00FA384C">
              <w:rPr>
                <w:rFonts w:ascii="Calibri" w:eastAsia="Times New Roman" w:hAnsi="Calibri" w:cs="Times New Roman"/>
                <w:color w:val="FFFFFF"/>
                <w:sz w:val="20"/>
                <w:szCs w:val="20"/>
                <w:lang w:eastAsia="de-DE"/>
              </w:rPr>
              <w:t xml:space="preserve">(quantitativ) </w:t>
            </w:r>
            <w:r w:rsidRPr="00FA384C">
              <w:rPr>
                <w:rFonts w:ascii="Calibri" w:eastAsia="Times New Roman" w:hAnsi="Calibri" w:cs="Times New Roman"/>
                <w:b/>
                <w:bCs/>
                <w:color w:val="FFFFFF"/>
                <w:sz w:val="20"/>
                <w:szCs w:val="20"/>
                <w:lang w:eastAsia="de-DE"/>
              </w:rPr>
              <w:t xml:space="preserve">Endziel </w:t>
            </w:r>
            <w:r>
              <w:rPr>
                <w:rFonts w:ascii="Calibri" w:eastAsia="Times New Roman" w:hAnsi="Calibri" w:cs="Times New Roman"/>
                <w:b/>
                <w:bCs/>
                <w:color w:val="FFFFFF"/>
                <w:sz w:val="20"/>
                <w:szCs w:val="20"/>
                <w:lang w:eastAsia="de-DE"/>
              </w:rPr>
              <w:t>2</w:t>
            </w:r>
            <w:r w:rsidRPr="00FA384C">
              <w:rPr>
                <w:rFonts w:ascii="Calibri" w:eastAsia="Times New Roman" w:hAnsi="Calibri" w:cs="Times New Roman"/>
                <w:color w:val="FFFFFF"/>
                <w:sz w:val="20"/>
                <w:szCs w:val="20"/>
                <w:lang w:eastAsia="de-DE"/>
              </w:rPr>
              <w:t>02</w:t>
            </w:r>
            <w:r>
              <w:rPr>
                <w:rFonts w:ascii="Calibri" w:eastAsia="Times New Roman" w:hAnsi="Calibri" w:cs="Times New Roman"/>
                <w:color w:val="FFFFFF"/>
                <w:sz w:val="20"/>
                <w:szCs w:val="20"/>
                <w:lang w:eastAsia="de-DE"/>
              </w:rPr>
              <w:t>2</w:t>
            </w:r>
          </w:p>
        </w:tc>
      </w:tr>
      <w:tr w:rsidR="00753FD3" w:rsidRPr="00FA384C" w14:paraId="3FE5419E" w14:textId="77777777" w:rsidTr="00753FD3">
        <w:trPr>
          <w:trHeight w:val="285"/>
        </w:trPr>
        <w:tc>
          <w:tcPr>
            <w:tcW w:w="597" w:type="pct"/>
            <w:vMerge/>
            <w:tcBorders>
              <w:top w:val="single" w:sz="4" w:space="0" w:color="auto"/>
              <w:left w:val="single" w:sz="4" w:space="0" w:color="auto"/>
              <w:bottom w:val="single" w:sz="4" w:space="0" w:color="auto"/>
              <w:right w:val="single" w:sz="4" w:space="0" w:color="auto"/>
            </w:tcBorders>
            <w:shd w:val="clear" w:color="000000" w:fill="E73031"/>
          </w:tcPr>
          <w:p w14:paraId="1CE743B9" w14:textId="77777777" w:rsidR="00753FD3" w:rsidRPr="00933D9D" w:rsidRDefault="00753FD3" w:rsidP="004D0610">
            <w:pPr>
              <w:spacing w:after="0" w:line="240" w:lineRule="auto"/>
              <w:rPr>
                <w:rFonts w:ascii="Calibri" w:eastAsia="Times New Roman" w:hAnsi="Calibri" w:cs="Times New Roman"/>
                <w:b/>
                <w:bCs/>
                <w:color w:val="FFFFFF"/>
                <w:sz w:val="18"/>
                <w:szCs w:val="20"/>
                <w:lang w:eastAsia="de-DE"/>
              </w:rPr>
            </w:pPr>
          </w:p>
        </w:tc>
        <w:tc>
          <w:tcPr>
            <w:tcW w:w="1184" w:type="pct"/>
            <w:vMerge/>
            <w:tcBorders>
              <w:top w:val="single" w:sz="4" w:space="0" w:color="auto"/>
              <w:left w:val="single" w:sz="4" w:space="0" w:color="auto"/>
              <w:bottom w:val="single" w:sz="4" w:space="0" w:color="auto"/>
              <w:right w:val="single" w:sz="4" w:space="0" w:color="auto"/>
            </w:tcBorders>
            <w:shd w:val="clear" w:color="000000" w:fill="E73031"/>
          </w:tcPr>
          <w:p w14:paraId="6F1DE46D" w14:textId="77777777" w:rsidR="00753FD3" w:rsidRPr="00933D9D" w:rsidRDefault="00753FD3" w:rsidP="004D0610">
            <w:pPr>
              <w:spacing w:after="0" w:line="240" w:lineRule="auto"/>
              <w:rPr>
                <w:rFonts w:ascii="Calibri" w:eastAsia="Times New Roman" w:hAnsi="Calibri" w:cs="Times New Roman"/>
                <w:b/>
                <w:bCs/>
                <w:color w:val="FFFFFF"/>
                <w:sz w:val="18"/>
                <w:szCs w:val="20"/>
                <w:lang w:eastAsia="de-DE"/>
              </w:rPr>
            </w:pPr>
          </w:p>
        </w:tc>
        <w:tc>
          <w:tcPr>
            <w:tcW w:w="340" w:type="pct"/>
            <w:vMerge/>
            <w:tcBorders>
              <w:top w:val="single" w:sz="4" w:space="0" w:color="auto"/>
              <w:left w:val="single" w:sz="4" w:space="0" w:color="auto"/>
              <w:bottom w:val="single" w:sz="4" w:space="0" w:color="auto"/>
              <w:right w:val="single" w:sz="4" w:space="0" w:color="auto"/>
            </w:tcBorders>
            <w:shd w:val="clear" w:color="000000" w:fill="E73031"/>
          </w:tcPr>
          <w:p w14:paraId="68D109BA" w14:textId="77777777" w:rsidR="00753FD3" w:rsidRPr="00933D9D" w:rsidRDefault="00753FD3" w:rsidP="004D0610">
            <w:pPr>
              <w:spacing w:after="0" w:line="240" w:lineRule="auto"/>
              <w:jc w:val="center"/>
              <w:rPr>
                <w:rFonts w:ascii="Calibri" w:eastAsia="Times New Roman" w:hAnsi="Calibri" w:cs="Times New Roman"/>
                <w:b/>
                <w:bCs/>
                <w:color w:val="FFFFFF"/>
                <w:sz w:val="18"/>
                <w:szCs w:val="20"/>
                <w:lang w:eastAsia="de-DE"/>
              </w:rPr>
            </w:pPr>
          </w:p>
        </w:tc>
        <w:tc>
          <w:tcPr>
            <w:tcW w:w="19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6F2692" w14:textId="77777777" w:rsidR="00753FD3" w:rsidRPr="00933D9D" w:rsidRDefault="00753FD3" w:rsidP="004D0610">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b/>
                <w:bCs/>
                <w:sz w:val="20"/>
                <w:szCs w:val="20"/>
                <w:lang w:eastAsia="de-DE"/>
              </w:rPr>
              <w:t>%</w:t>
            </w:r>
          </w:p>
        </w:tc>
        <w:tc>
          <w:tcPr>
            <w:tcW w:w="34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278E7F" w14:textId="77777777" w:rsidR="00753FD3" w:rsidRPr="00933D9D" w:rsidRDefault="00753FD3"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b/>
                <w:bCs/>
                <w:sz w:val="20"/>
                <w:szCs w:val="20"/>
                <w:lang w:eastAsia="de-DE"/>
              </w:rPr>
              <w:t>Betrag (€)</w:t>
            </w:r>
          </w:p>
        </w:tc>
        <w:tc>
          <w:tcPr>
            <w:tcW w:w="493"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9287B6" w14:textId="77777777" w:rsidR="00753FD3" w:rsidRPr="00933D9D" w:rsidRDefault="00753FD3" w:rsidP="004D0610">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sz w:val="20"/>
                <w:szCs w:val="20"/>
                <w:lang w:eastAsia="de-DE"/>
              </w:rPr>
              <w:t>Gebiets</w:t>
            </w:r>
            <w:r w:rsidRPr="008E5C27">
              <w:rPr>
                <w:rFonts w:ascii="Calibri" w:eastAsia="Times New Roman" w:hAnsi="Calibri" w:cs="Times New Roman"/>
                <w:sz w:val="20"/>
                <w:szCs w:val="20"/>
                <w:lang w:eastAsia="de-DE"/>
              </w:rPr>
              <w:t>körper-</w:t>
            </w:r>
            <w:proofErr w:type="spellStart"/>
            <w:r w:rsidRPr="008E5C27">
              <w:rPr>
                <w:rFonts w:ascii="Calibri" w:eastAsia="Times New Roman" w:hAnsi="Calibri" w:cs="Times New Roman"/>
                <w:sz w:val="20"/>
                <w:szCs w:val="20"/>
                <w:lang w:eastAsia="de-DE"/>
              </w:rPr>
              <w:t>schaften</w:t>
            </w:r>
            <w:proofErr w:type="spellEnd"/>
          </w:p>
        </w:tc>
        <w:tc>
          <w:tcPr>
            <w:tcW w:w="5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6D2856" w14:textId="77777777" w:rsidR="00753FD3" w:rsidRPr="00933D9D" w:rsidRDefault="00753FD3"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Sonstige</w:t>
            </w:r>
          </w:p>
        </w:tc>
        <w:tc>
          <w:tcPr>
            <w:tcW w:w="4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B12F33" w14:textId="77777777" w:rsidR="00753FD3" w:rsidRPr="00933D9D" w:rsidRDefault="00753FD3"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max. Zuschuss (€)</w:t>
            </w:r>
          </w:p>
        </w:tc>
        <w:tc>
          <w:tcPr>
            <w:tcW w:w="296" w:type="pct"/>
            <w:vMerge/>
            <w:tcBorders>
              <w:top w:val="single" w:sz="4" w:space="0" w:color="auto"/>
              <w:left w:val="single" w:sz="4" w:space="0" w:color="auto"/>
              <w:bottom w:val="single" w:sz="4" w:space="0" w:color="auto"/>
              <w:right w:val="single" w:sz="4" w:space="0" w:color="auto"/>
            </w:tcBorders>
            <w:shd w:val="clear" w:color="000000" w:fill="E73031"/>
          </w:tcPr>
          <w:p w14:paraId="6F6CAE10" w14:textId="77777777" w:rsidR="00753FD3" w:rsidRPr="00FA384C" w:rsidRDefault="00753FD3" w:rsidP="004D0610">
            <w:pPr>
              <w:spacing w:after="0" w:line="240" w:lineRule="auto"/>
              <w:jc w:val="center"/>
              <w:rPr>
                <w:rFonts w:ascii="Calibri" w:eastAsia="Times New Roman" w:hAnsi="Calibri" w:cs="Times New Roman"/>
                <w:b/>
                <w:bCs/>
                <w:color w:val="FFFFFF"/>
                <w:sz w:val="20"/>
                <w:szCs w:val="20"/>
                <w:lang w:eastAsia="de-DE"/>
              </w:rPr>
            </w:pPr>
          </w:p>
        </w:tc>
        <w:tc>
          <w:tcPr>
            <w:tcW w:w="562" w:type="pct"/>
            <w:gridSpan w:val="2"/>
            <w:vMerge/>
            <w:tcBorders>
              <w:top w:val="single" w:sz="4" w:space="0" w:color="auto"/>
              <w:left w:val="single" w:sz="4" w:space="0" w:color="auto"/>
              <w:bottom w:val="single" w:sz="4" w:space="0" w:color="auto"/>
              <w:right w:val="single" w:sz="4" w:space="0" w:color="auto"/>
            </w:tcBorders>
            <w:shd w:val="clear" w:color="000000" w:fill="E73031"/>
          </w:tcPr>
          <w:p w14:paraId="375E8370" w14:textId="77777777" w:rsidR="00753FD3" w:rsidRPr="00FA384C" w:rsidRDefault="00753FD3" w:rsidP="004D0610">
            <w:pPr>
              <w:spacing w:after="0" w:line="240" w:lineRule="auto"/>
              <w:jc w:val="center"/>
              <w:rPr>
                <w:rFonts w:ascii="Calibri" w:eastAsia="Times New Roman" w:hAnsi="Calibri" w:cs="Times New Roman"/>
                <w:b/>
                <w:bCs/>
                <w:color w:val="FFFFFF"/>
                <w:sz w:val="20"/>
                <w:szCs w:val="20"/>
                <w:lang w:eastAsia="de-DE"/>
              </w:rPr>
            </w:pPr>
          </w:p>
        </w:tc>
      </w:tr>
      <w:tr w:rsidR="00753FD3" w:rsidRPr="00FA384C" w14:paraId="34E744D5" w14:textId="77777777" w:rsidTr="00753FD3">
        <w:trPr>
          <w:trHeight w:val="285"/>
        </w:trPr>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333BF" w14:textId="77777777" w:rsidR="00753FD3" w:rsidRDefault="00753FD3" w:rsidP="004D0610">
            <w:pPr>
              <w:spacing w:after="0" w:line="240" w:lineRule="auto"/>
              <w:rPr>
                <w:rFonts w:ascii="Calibri" w:eastAsia="Times New Roman" w:hAnsi="Calibri" w:cs="Times New Roman"/>
                <w:b/>
                <w:bCs/>
                <w:color w:val="E73031"/>
                <w:sz w:val="18"/>
                <w:szCs w:val="16"/>
                <w:lang w:eastAsia="de-DE"/>
              </w:rPr>
            </w:pPr>
            <w:r>
              <w:rPr>
                <w:rFonts w:ascii="Calibri" w:eastAsia="Times New Roman" w:hAnsi="Calibri" w:cs="Times New Roman"/>
                <w:b/>
                <w:bCs/>
                <w:color w:val="E73031"/>
                <w:sz w:val="18"/>
                <w:szCs w:val="16"/>
                <w:lang w:eastAsia="de-DE"/>
              </w:rPr>
              <w:t>D</w:t>
            </w:r>
          </w:p>
          <w:p w14:paraId="50B50F10" w14:textId="77777777" w:rsidR="00753FD3" w:rsidRPr="00933D9D" w:rsidRDefault="00753FD3" w:rsidP="004D0610">
            <w:pPr>
              <w:spacing w:after="0" w:line="240" w:lineRule="auto"/>
              <w:rPr>
                <w:rFonts w:ascii="Calibri" w:eastAsia="Times New Roman" w:hAnsi="Calibri" w:cs="Times New Roman"/>
                <w:b/>
                <w:bCs/>
                <w:color w:val="FFFFFF"/>
                <w:sz w:val="18"/>
                <w:szCs w:val="20"/>
                <w:lang w:eastAsia="de-DE"/>
              </w:rPr>
            </w:pPr>
            <w:r w:rsidRPr="008E5C27">
              <w:rPr>
                <w:rFonts w:ascii="Calibri" w:eastAsia="Times New Roman" w:hAnsi="Calibri" w:cs="Times New Roman"/>
                <w:bCs/>
                <w:sz w:val="18"/>
                <w:szCs w:val="16"/>
                <w:lang w:eastAsia="de-DE"/>
              </w:rPr>
              <w:t xml:space="preserve">Dörfer und Städte als </w:t>
            </w:r>
            <w:r>
              <w:rPr>
                <w:rFonts w:ascii="Calibri" w:eastAsia="Times New Roman" w:hAnsi="Calibri" w:cs="Times New Roman"/>
                <w:bCs/>
                <w:sz w:val="18"/>
                <w:szCs w:val="16"/>
                <w:lang w:eastAsia="de-DE"/>
              </w:rPr>
              <w:t xml:space="preserve">Lebensorte </w:t>
            </w:r>
            <w:r w:rsidRPr="008E5C27">
              <w:rPr>
                <w:rFonts w:ascii="Calibri" w:eastAsia="Times New Roman" w:hAnsi="Calibri" w:cs="Times New Roman"/>
                <w:bCs/>
                <w:sz w:val="18"/>
                <w:szCs w:val="16"/>
                <w:lang w:eastAsia="de-DE"/>
              </w:rPr>
              <w:t>bedarfsgerecht entwickeln</w:t>
            </w:r>
          </w:p>
        </w:tc>
        <w:tc>
          <w:tcPr>
            <w:tcW w:w="1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A923" w14:textId="77777777" w:rsidR="00753FD3" w:rsidRPr="00414D0C" w:rsidRDefault="00753FD3" w:rsidP="004D0610">
            <w:pPr>
              <w:spacing w:after="0" w:line="240" w:lineRule="auto"/>
              <w:rPr>
                <w:rFonts w:ascii="Calibri" w:eastAsia="Times New Roman" w:hAnsi="Calibri" w:cs="Times New Roman"/>
                <w:b/>
                <w:bCs/>
                <w:color w:val="E73031"/>
                <w:sz w:val="18"/>
                <w:szCs w:val="18"/>
                <w:lang w:eastAsia="de-DE"/>
              </w:rPr>
            </w:pPr>
            <w:r>
              <w:rPr>
                <w:rFonts w:ascii="Calibri" w:eastAsia="Times New Roman" w:hAnsi="Calibri" w:cs="Times New Roman"/>
                <w:b/>
                <w:bCs/>
                <w:color w:val="E73031"/>
                <w:sz w:val="18"/>
                <w:szCs w:val="18"/>
                <w:lang w:eastAsia="de-DE"/>
              </w:rPr>
              <w:t>D1.01</w:t>
            </w:r>
          </w:p>
          <w:p w14:paraId="6CD872C3" w14:textId="77777777" w:rsidR="00753FD3" w:rsidRPr="00933D9D" w:rsidRDefault="00753FD3" w:rsidP="004D0610">
            <w:pPr>
              <w:spacing w:after="0" w:line="240" w:lineRule="auto"/>
              <w:rPr>
                <w:rFonts w:ascii="Calibri" w:eastAsia="Times New Roman" w:hAnsi="Calibri" w:cs="Times New Roman"/>
                <w:b/>
                <w:bCs/>
                <w:color w:val="FFFFFF"/>
                <w:sz w:val="18"/>
                <w:szCs w:val="20"/>
                <w:lang w:eastAsia="de-DE"/>
              </w:rPr>
            </w:pPr>
            <w:r w:rsidRPr="00EC77F9">
              <w:rPr>
                <w:rFonts w:ascii="Calibri" w:eastAsia="Times New Roman" w:hAnsi="Calibri" w:cs="Times New Roman"/>
                <w:color w:val="000000" w:themeColor="text1"/>
                <w:sz w:val="18"/>
                <w:szCs w:val="18"/>
                <w:lang w:eastAsia="de-DE"/>
              </w:rPr>
              <w:t>Um- und Wiedernutzung leerstehender oder leerfallender ländlicher Bausubstanz zu Hauptwohnzwecken</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794E1" w14:textId="77777777" w:rsidR="00753FD3" w:rsidRPr="0058199B" w:rsidRDefault="00753FD3" w:rsidP="004D0610">
            <w:pPr>
              <w:spacing w:after="0" w:line="240" w:lineRule="auto"/>
              <w:jc w:val="center"/>
              <w:rPr>
                <w:rFonts w:ascii="Calibri" w:eastAsia="Times New Roman" w:hAnsi="Calibri" w:cs="Times New Roman"/>
                <w:sz w:val="16"/>
                <w:szCs w:val="16"/>
                <w:lang w:eastAsia="de-DE"/>
              </w:rPr>
            </w:pPr>
            <w:r w:rsidRPr="008E5C27">
              <w:rPr>
                <w:rFonts w:ascii="Calibri" w:eastAsia="Times New Roman" w:hAnsi="Calibri" w:cs="Times New Roman"/>
                <w:b/>
                <w:bCs/>
                <w:sz w:val="16"/>
                <w:szCs w:val="16"/>
                <w:lang w:eastAsia="de-DE"/>
              </w:rPr>
              <w:t>LEADER</w:t>
            </w:r>
          </w:p>
        </w:tc>
        <w:tc>
          <w:tcPr>
            <w:tcW w:w="19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D76744" w14:textId="77777777" w:rsidR="00753FD3" w:rsidRPr="00D73C90" w:rsidRDefault="00753FD3" w:rsidP="004D0610">
            <w:pPr>
              <w:spacing w:after="0" w:line="240" w:lineRule="auto"/>
              <w:jc w:val="right"/>
              <w:rPr>
                <w:rFonts w:ascii="Calibri" w:eastAsia="Times New Roman" w:hAnsi="Calibri" w:cs="Times New Roman"/>
                <w:bCs/>
                <w:sz w:val="18"/>
                <w:szCs w:val="20"/>
                <w:lang w:eastAsia="de-DE"/>
              </w:rPr>
            </w:pPr>
          </w:p>
        </w:tc>
        <w:tc>
          <w:tcPr>
            <w:tcW w:w="34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A141EA" w14:textId="77777777" w:rsidR="00753FD3" w:rsidRPr="00D73C90" w:rsidRDefault="00753FD3" w:rsidP="004D0610">
            <w:pPr>
              <w:spacing w:after="0" w:line="240" w:lineRule="auto"/>
              <w:jc w:val="right"/>
              <w:rPr>
                <w:rFonts w:ascii="Calibri" w:eastAsia="Times New Roman" w:hAnsi="Calibri" w:cs="Times New Roman"/>
                <w:bCs/>
                <w:sz w:val="18"/>
                <w:szCs w:val="20"/>
                <w:lang w:eastAsia="de-DE"/>
              </w:rPr>
            </w:pP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6AA047" w14:textId="77777777" w:rsidR="00753FD3" w:rsidRDefault="00753FD3" w:rsidP="004D0610">
            <w:pPr>
              <w:spacing w:after="0" w:line="240" w:lineRule="auto"/>
              <w:jc w:val="center"/>
              <w:rPr>
                <w:rFonts w:ascii="Calibri" w:eastAsia="Times New Roman" w:hAnsi="Calibri" w:cs="Times New Roman"/>
                <w:sz w:val="20"/>
                <w:szCs w:val="20"/>
                <w:lang w:eastAsia="de-DE"/>
              </w:rPr>
            </w:pPr>
            <w:r>
              <w:rPr>
                <w:rFonts w:ascii="Calibri" w:eastAsia="Times New Roman" w:hAnsi="Calibri" w:cs="Times New Roman"/>
                <w:sz w:val="20"/>
                <w:szCs w:val="20"/>
                <w:lang w:eastAsia="de-DE"/>
              </w:rPr>
              <w:t>_</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37758" w14:textId="77777777" w:rsidR="00753FD3" w:rsidRPr="008E5C27" w:rsidRDefault="00753FD3" w:rsidP="004D0610">
            <w:pPr>
              <w:spacing w:after="0" w:line="240" w:lineRule="auto"/>
              <w:jc w:val="center"/>
              <w:rPr>
                <w:rFonts w:ascii="Calibri" w:eastAsia="Times New Roman" w:hAnsi="Calibri" w:cs="Times New Roman"/>
                <w:sz w:val="20"/>
                <w:szCs w:val="20"/>
                <w:lang w:eastAsia="de-DE"/>
              </w:rPr>
            </w:pPr>
            <w:r w:rsidRPr="0058199B">
              <w:rPr>
                <w:rFonts w:ascii="Calibri" w:eastAsia="Times New Roman" w:hAnsi="Calibri" w:cs="Times New Roman"/>
                <w:sz w:val="16"/>
                <w:szCs w:val="16"/>
                <w:lang w:eastAsia="de-DE"/>
              </w:rPr>
              <w:t>40 %</w:t>
            </w:r>
          </w:p>
        </w:tc>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6439C" w14:textId="77777777" w:rsidR="00753FD3" w:rsidRPr="00CF599C" w:rsidRDefault="00753FD3" w:rsidP="004D0610">
            <w:pPr>
              <w:spacing w:after="0" w:line="240" w:lineRule="auto"/>
              <w:jc w:val="center"/>
              <w:rPr>
                <w:rFonts w:ascii="Calibri" w:eastAsia="Times New Roman" w:hAnsi="Calibri" w:cs="Times New Roman"/>
                <w:sz w:val="18"/>
                <w:szCs w:val="20"/>
                <w:lang w:eastAsia="de-DE"/>
              </w:rPr>
            </w:pPr>
            <w:r w:rsidRPr="00CF599C">
              <w:rPr>
                <w:rFonts w:ascii="Calibri" w:eastAsia="Times New Roman" w:hAnsi="Calibri" w:cs="Times New Roman"/>
                <w:sz w:val="18"/>
                <w:szCs w:val="20"/>
                <w:lang w:eastAsia="de-DE"/>
              </w:rPr>
              <w:t>75.000</w:t>
            </w:r>
          </w:p>
        </w:tc>
        <w:tc>
          <w:tcPr>
            <w:tcW w:w="29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6CA3F1" w14:textId="77777777" w:rsidR="00753FD3" w:rsidRPr="00FA384C" w:rsidRDefault="00753FD3" w:rsidP="004D0610">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6b (P)</w:t>
            </w:r>
          </w:p>
        </w:tc>
        <w:tc>
          <w:tcPr>
            <w:tcW w:w="562"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DA4073" w14:textId="77777777" w:rsidR="00753FD3" w:rsidRPr="00FA384C" w:rsidRDefault="00753FD3" w:rsidP="004D0610">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mind. 57</w:t>
            </w:r>
          </w:p>
        </w:tc>
      </w:tr>
      <w:tr w:rsidR="00753FD3" w:rsidRPr="00FA384C" w14:paraId="588E810F" w14:textId="77777777" w:rsidTr="00753FD3">
        <w:trPr>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5D663" w14:textId="166BA398" w:rsidR="00753FD3" w:rsidRPr="00894527" w:rsidRDefault="00753FD3" w:rsidP="00753FD3">
            <w:pPr>
              <w:spacing w:after="0" w:line="240" w:lineRule="auto"/>
              <w:rPr>
                <w:rFonts w:ascii="Calibri" w:eastAsia="Times New Roman" w:hAnsi="Calibri" w:cs="Times New Roman"/>
                <w:sz w:val="16"/>
                <w:szCs w:val="16"/>
                <w:lang w:eastAsia="de-DE"/>
              </w:rPr>
            </w:pPr>
            <w:r w:rsidRPr="00380E3E">
              <w:t>Förderung von investiven Vorhaben zur Um- oder Wiedernutzung leerstehender Bausubstanz mit dem Zweck der Schaffung einer Wohnnutzung für den Eigenbedarf oder zur Nutzung durch Verwandtschaft 1. Grades. Nicht förderfähig ist Wohnraum zur Erzielung von Einkünften aus Vermietung und Verpachtung.</w:t>
            </w:r>
          </w:p>
        </w:tc>
      </w:tr>
    </w:tbl>
    <w:p w14:paraId="187D6A71" w14:textId="37EE488B" w:rsidR="005B495A" w:rsidRPr="00507616" w:rsidRDefault="00507616">
      <w:pPr>
        <w:rPr>
          <w:b/>
          <w:bCs/>
        </w:rPr>
      </w:pPr>
      <w:r w:rsidRPr="00507616">
        <w:rPr>
          <w:b/>
          <w:bCs/>
        </w:rPr>
        <w:lastRenderedPageBreak/>
        <w:t>Andere LEADER-Themenfelder:</w:t>
      </w:r>
    </w:p>
    <w:p w14:paraId="1EF0A8ED" w14:textId="35EE5273" w:rsidR="00507616" w:rsidRDefault="00507616" w:rsidP="00507616">
      <w:pPr>
        <w:pStyle w:val="Listenabsatz"/>
        <w:numPr>
          <w:ilvl w:val="0"/>
          <w:numId w:val="1"/>
        </w:numPr>
      </w:pPr>
      <w:r>
        <w:t xml:space="preserve">Grundversorgung: Leerstandsmanagement </w:t>
      </w:r>
      <w:r w:rsidR="00D7538A">
        <w:t xml:space="preserve">(u.a. Sanierungserstberatung) </w:t>
      </w:r>
      <w:r>
        <w:t xml:space="preserve">sowie </w:t>
      </w:r>
      <w:r w:rsidR="003136F7" w:rsidRPr="003473B1">
        <w:t>reine Außensanierungen mit Mehrwert (Energiegewinnung)</w:t>
      </w:r>
    </w:p>
    <w:sectPr w:rsidR="00507616" w:rsidSect="001C4DDF">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9F5F" w14:textId="77777777" w:rsidR="00D126D2" w:rsidRDefault="00D126D2" w:rsidP="00D126D2">
      <w:pPr>
        <w:spacing w:after="0" w:line="240" w:lineRule="auto"/>
      </w:pPr>
      <w:r>
        <w:separator/>
      </w:r>
    </w:p>
  </w:endnote>
  <w:endnote w:type="continuationSeparator" w:id="0">
    <w:p w14:paraId="390EB636" w14:textId="77777777" w:rsidR="00D126D2" w:rsidRDefault="00D126D2" w:rsidP="00D1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1AF7" w14:textId="77777777" w:rsidR="00D126D2" w:rsidRDefault="00D126D2" w:rsidP="00D126D2">
      <w:pPr>
        <w:spacing w:after="0" w:line="240" w:lineRule="auto"/>
      </w:pPr>
      <w:r>
        <w:separator/>
      </w:r>
    </w:p>
  </w:footnote>
  <w:footnote w:type="continuationSeparator" w:id="0">
    <w:p w14:paraId="0309396C" w14:textId="77777777" w:rsidR="00D126D2" w:rsidRDefault="00D126D2" w:rsidP="00D12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C5F5" w14:textId="0B019351" w:rsidR="00D126D2" w:rsidRDefault="00D126D2">
    <w:pPr>
      <w:pStyle w:val="Kopfzeile"/>
    </w:pPr>
    <w:r>
      <w:t>Handlungsfeld Wohnen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80BB4"/>
    <w:multiLevelType w:val="hybridMultilevel"/>
    <w:tmpl w:val="5E987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DF"/>
    <w:rsid w:val="00056595"/>
    <w:rsid w:val="001C4DDF"/>
    <w:rsid w:val="003136F7"/>
    <w:rsid w:val="004B7E38"/>
    <w:rsid w:val="00507616"/>
    <w:rsid w:val="00572BED"/>
    <w:rsid w:val="005B495A"/>
    <w:rsid w:val="006C055A"/>
    <w:rsid w:val="0073365E"/>
    <w:rsid w:val="00753FD3"/>
    <w:rsid w:val="00872FFE"/>
    <w:rsid w:val="008B10A1"/>
    <w:rsid w:val="00A620D1"/>
    <w:rsid w:val="00CE2BC3"/>
    <w:rsid w:val="00D126D2"/>
    <w:rsid w:val="00D7538A"/>
    <w:rsid w:val="00F57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3788"/>
  <w15:chartTrackingRefBased/>
  <w15:docId w15:val="{5A24D00B-02D8-4E32-8F42-66DEAED1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4D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C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a-7z66zz81zz83zz77zhnz76zz69zz122zz69zz65zdez79zi">
    <w:name w:val="author-a-7z66zz81zz83zz77zhnz76zz69zz122zz69zz65zdez79zi"/>
    <w:basedOn w:val="Absatz-Standardschriftart"/>
    <w:rsid w:val="001C4DDF"/>
  </w:style>
  <w:style w:type="character" w:styleId="Kommentarzeichen">
    <w:name w:val="annotation reference"/>
    <w:basedOn w:val="Absatz-Standardschriftart"/>
    <w:uiPriority w:val="99"/>
    <w:semiHidden/>
    <w:unhideWhenUsed/>
    <w:rsid w:val="00872FFE"/>
    <w:rPr>
      <w:sz w:val="16"/>
      <w:szCs w:val="16"/>
    </w:rPr>
  </w:style>
  <w:style w:type="paragraph" w:styleId="Kommentartext">
    <w:name w:val="annotation text"/>
    <w:basedOn w:val="Standard"/>
    <w:link w:val="KommentartextZchn"/>
    <w:uiPriority w:val="99"/>
    <w:semiHidden/>
    <w:unhideWhenUsed/>
    <w:rsid w:val="00872F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2FFE"/>
    <w:rPr>
      <w:sz w:val="20"/>
      <w:szCs w:val="20"/>
    </w:rPr>
  </w:style>
  <w:style w:type="paragraph" w:styleId="Kommentarthema">
    <w:name w:val="annotation subject"/>
    <w:basedOn w:val="Kommentartext"/>
    <w:next w:val="Kommentartext"/>
    <w:link w:val="KommentarthemaZchn"/>
    <w:uiPriority w:val="99"/>
    <w:semiHidden/>
    <w:unhideWhenUsed/>
    <w:rsid w:val="00872FFE"/>
    <w:rPr>
      <w:b/>
      <w:bCs/>
    </w:rPr>
  </w:style>
  <w:style w:type="character" w:customStyle="1" w:styleId="KommentarthemaZchn">
    <w:name w:val="Kommentarthema Zchn"/>
    <w:basedOn w:val="KommentartextZchn"/>
    <w:link w:val="Kommentarthema"/>
    <w:uiPriority w:val="99"/>
    <w:semiHidden/>
    <w:rsid w:val="00872FFE"/>
    <w:rPr>
      <w:b/>
      <w:bCs/>
      <w:sz w:val="20"/>
      <w:szCs w:val="20"/>
    </w:rPr>
  </w:style>
  <w:style w:type="paragraph" w:styleId="Kopfzeile">
    <w:name w:val="header"/>
    <w:basedOn w:val="Standard"/>
    <w:link w:val="KopfzeileZchn"/>
    <w:uiPriority w:val="99"/>
    <w:unhideWhenUsed/>
    <w:rsid w:val="00D126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26D2"/>
  </w:style>
  <w:style w:type="paragraph" w:styleId="Fuzeile">
    <w:name w:val="footer"/>
    <w:basedOn w:val="Standard"/>
    <w:link w:val="FuzeileZchn"/>
    <w:uiPriority w:val="99"/>
    <w:unhideWhenUsed/>
    <w:rsid w:val="00D126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26D2"/>
  </w:style>
  <w:style w:type="paragraph" w:styleId="Listenabsatz">
    <w:name w:val="List Paragraph"/>
    <w:basedOn w:val="Standard"/>
    <w:uiPriority w:val="34"/>
    <w:qFormat/>
    <w:rsid w:val="00507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Weber</dc:creator>
  <cp:keywords/>
  <dc:description/>
  <cp:lastModifiedBy>Regionalmanagement ZRZ</cp:lastModifiedBy>
  <cp:revision>9</cp:revision>
  <dcterms:created xsi:type="dcterms:W3CDTF">2022-02-28T12:51:00Z</dcterms:created>
  <dcterms:modified xsi:type="dcterms:W3CDTF">2022-03-01T14:17:00Z</dcterms:modified>
</cp:coreProperties>
</file>